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74" w:rsidRPr="00162BEF" w:rsidRDefault="00DF1774" w:rsidP="00DF1774">
      <w:pPr>
        <w:spacing w:before="570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Pr="00162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«УТВЕРЖДАЮ»</w:t>
      </w:r>
    </w:p>
    <w:p w:rsidR="00DF1774" w:rsidRPr="00162BEF" w:rsidRDefault="00DF1774" w:rsidP="00DF1774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DF1774" w:rsidRPr="00162BEF" w:rsidRDefault="00DF1774" w:rsidP="00DF1774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Директор МБУ СШОР</w:t>
      </w:r>
    </w:p>
    <w:p w:rsidR="00DF1774" w:rsidRPr="00162BEF" w:rsidRDefault="00DF1774" w:rsidP="00DF1774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по пулевой стрельбе   «Спартаковец»</w:t>
      </w:r>
    </w:p>
    <w:p w:rsidR="00DF1774" w:rsidRPr="00162BEF" w:rsidRDefault="00DF1774" w:rsidP="00DF1774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им. В.В.Карпушкина  </w:t>
      </w:r>
    </w:p>
    <w:p w:rsidR="00DF1774" w:rsidRPr="00162BEF" w:rsidRDefault="00DF1774" w:rsidP="00DF1774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.                                  _____________________ С.В. Васюков</w:t>
      </w:r>
    </w:p>
    <w:p w:rsidR="00DF1774" w:rsidRPr="00162BEF" w:rsidRDefault="00DF1774" w:rsidP="00DF1774">
      <w:pPr>
        <w:jc w:val="both"/>
        <w:rPr>
          <w:rFonts w:ascii="Times New Roman" w:eastAsia="Times New Roman" w:hAnsi="Times New Roman" w:cs="Times New Roman"/>
        </w:rPr>
      </w:pPr>
      <w:r w:rsidRPr="00162B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« ____» ___________________  2019  г. </w:t>
      </w:r>
    </w:p>
    <w:p w:rsidR="007566BF" w:rsidRDefault="007566BF" w:rsidP="00DF1774">
      <w:pPr>
        <w:spacing w:line="360" w:lineRule="exact"/>
        <w:jc w:val="right"/>
      </w:pPr>
    </w:p>
    <w:p w:rsidR="00D01620" w:rsidRDefault="00D01620">
      <w:pPr>
        <w:pStyle w:val="Bodytext30"/>
        <w:shd w:val="clear" w:color="auto" w:fill="auto"/>
      </w:pPr>
      <w:bookmarkStart w:id="0" w:name="_GoBack"/>
      <w:bookmarkEnd w:id="0"/>
    </w:p>
    <w:p w:rsidR="00D01620" w:rsidRDefault="00D01620">
      <w:pPr>
        <w:pStyle w:val="Bodytext30"/>
        <w:shd w:val="clear" w:color="auto" w:fill="auto"/>
      </w:pPr>
    </w:p>
    <w:p w:rsidR="00D01620" w:rsidRDefault="00D01620">
      <w:pPr>
        <w:pStyle w:val="Bodytext30"/>
        <w:shd w:val="clear" w:color="auto" w:fill="auto"/>
      </w:pPr>
    </w:p>
    <w:p w:rsidR="00D01620" w:rsidRDefault="00D01620">
      <w:pPr>
        <w:pStyle w:val="Bodytext30"/>
        <w:shd w:val="clear" w:color="auto" w:fill="auto"/>
      </w:pPr>
    </w:p>
    <w:p w:rsidR="00D17872" w:rsidRDefault="00D17872">
      <w:pPr>
        <w:pStyle w:val="Bodytext30"/>
        <w:shd w:val="clear" w:color="auto" w:fill="auto"/>
      </w:pPr>
    </w:p>
    <w:p w:rsidR="00D17872" w:rsidRDefault="00D17872">
      <w:pPr>
        <w:pStyle w:val="Bodytext30"/>
        <w:shd w:val="clear" w:color="auto" w:fill="auto"/>
      </w:pPr>
    </w:p>
    <w:p w:rsidR="00D17872" w:rsidRDefault="00D17872">
      <w:pPr>
        <w:pStyle w:val="Bodytext30"/>
        <w:shd w:val="clear" w:color="auto" w:fill="auto"/>
      </w:pPr>
    </w:p>
    <w:p w:rsidR="00D17872" w:rsidRDefault="00D17872">
      <w:pPr>
        <w:pStyle w:val="Bodytext30"/>
        <w:shd w:val="clear" w:color="auto" w:fill="auto"/>
      </w:pPr>
    </w:p>
    <w:p w:rsidR="00D17872" w:rsidRDefault="00D17872">
      <w:pPr>
        <w:pStyle w:val="Bodytext30"/>
        <w:shd w:val="clear" w:color="auto" w:fill="auto"/>
      </w:pPr>
    </w:p>
    <w:p w:rsidR="00D17872" w:rsidRDefault="00D17872">
      <w:pPr>
        <w:pStyle w:val="Bodytext30"/>
        <w:shd w:val="clear" w:color="auto" w:fill="auto"/>
      </w:pPr>
    </w:p>
    <w:p w:rsidR="007566BF" w:rsidRDefault="00EC014E">
      <w:pPr>
        <w:pStyle w:val="Bodytext30"/>
        <w:shd w:val="clear" w:color="auto" w:fill="auto"/>
      </w:pPr>
      <w:r>
        <w:t>ПОЛОЖЕНИЕ</w:t>
      </w:r>
    </w:p>
    <w:p w:rsidR="007356D7" w:rsidRDefault="00EC014E" w:rsidP="007356D7">
      <w:pPr>
        <w:pStyle w:val="Bodytext30"/>
        <w:shd w:val="clear" w:color="auto" w:fill="auto"/>
        <w:spacing w:after="7862"/>
      </w:pPr>
      <w:r>
        <w:t xml:space="preserve">о комиссии по противодействию коррупции </w:t>
      </w:r>
      <w:r w:rsidR="00D17872">
        <w:t xml:space="preserve">МБУ СШОР </w:t>
      </w:r>
      <w:r w:rsidR="00D01620">
        <w:t>«Спартаковец им. В.В. Карпушкина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29"/>
        </w:tabs>
        <w:ind w:left="3740"/>
      </w:pPr>
      <w:bookmarkStart w:id="1" w:name="bookmark0"/>
      <w:r>
        <w:lastRenderedPageBreak/>
        <w:t>Общие положения</w:t>
      </w:r>
      <w:bookmarkEnd w:id="1"/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78"/>
        </w:tabs>
        <w:ind w:firstLine="340"/>
      </w:pPr>
      <w:r>
        <w:t xml:space="preserve">Комиссия МБУ СШОР </w:t>
      </w:r>
      <w:r w:rsidR="00485601">
        <w:t>по пулевой стрельбе «Спартаковец» им. В. В. Карпушкина</w:t>
      </w:r>
      <w:r>
        <w:t xml:space="preserve"> (далее Учреждение) по противодействию коррупции (далее - комиссия) создаётся в целях </w:t>
      </w:r>
      <w:r>
        <w:t xml:space="preserve">предварительного рассмотрения вопросов, связанных с противодействием коррупции, подготовки по ним предложений для руководства </w:t>
      </w:r>
      <w:r w:rsidR="00236D72">
        <w:t>МБУ СШОР</w:t>
      </w:r>
      <w:r>
        <w:t>, носящих рекомендательный характер, а также для подготовки предложений, направленных на повышение эффективности против</w:t>
      </w:r>
      <w:r>
        <w:t>одействия коррупции в спортивной школе.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78"/>
        </w:tabs>
        <w:ind w:firstLine="340"/>
      </w:pPr>
      <w:r>
        <w:t>Комиссия является коллегиальным органом, порядок работы и состав Комиссии утверждается приказом директора Учреждения.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87"/>
        </w:tabs>
        <w:ind w:firstLine="340"/>
      </w:pPr>
      <w:r>
        <w:t>Комиссия образуется в целях: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42"/>
        </w:tabs>
        <w:ind w:firstLine="340"/>
      </w:pPr>
      <w:r>
        <w:t>предупреждения коррупционных правонарушений в Учреждении;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05"/>
        </w:tabs>
        <w:ind w:firstLine="340"/>
      </w:pPr>
      <w:r>
        <w:t>организации</w:t>
      </w:r>
      <w:r>
        <w:t xml:space="preserve"> выявления и устранения в Учреждении причин и условий, порождающих коррупцию;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14"/>
        </w:tabs>
        <w:ind w:firstLine="340"/>
      </w:pPr>
      <w:r>
        <w:t>обеспечения защиты прав и законных интересов граждан, общества и государства от угроз, связанных с коррупцией;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05"/>
        </w:tabs>
        <w:ind w:firstLine="340"/>
      </w:pPr>
      <w:r>
        <w:t>участия в пределах своих полномочий в реализации мероприятий, напра</w:t>
      </w:r>
      <w:r>
        <w:t>вленных на противодействие коррупции в Учреждении.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87"/>
        </w:tabs>
        <w:ind w:firstLine="340"/>
      </w:pPr>
      <w:r>
        <w:t>Комиссия в своей деятельности руководствуется:</w:t>
      </w:r>
    </w:p>
    <w:p w:rsidR="007566BF" w:rsidRDefault="00EC014E">
      <w:pPr>
        <w:pStyle w:val="Bodytext20"/>
        <w:shd w:val="clear" w:color="auto" w:fill="auto"/>
        <w:ind w:firstLine="340"/>
      </w:pPr>
      <w:r>
        <w:t xml:space="preserve">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r>
        <w:t>иными нормативно-правовыми документами в сфере борьбы с коррупцией, приказами директора и настоящим Положением.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87"/>
        </w:tabs>
        <w:ind w:firstLine="340"/>
      </w:pPr>
      <w:r>
        <w:t>Основные понятия, используемые в настоящем Положении:</w:t>
      </w:r>
    </w:p>
    <w:p w:rsidR="007566BF" w:rsidRDefault="00EC014E">
      <w:pPr>
        <w:pStyle w:val="Bodytext20"/>
        <w:shd w:val="clear" w:color="auto" w:fill="auto"/>
        <w:ind w:firstLine="340"/>
      </w:pPr>
      <w:r>
        <w:rPr>
          <w:rStyle w:val="Bodytext2Bold"/>
        </w:rPr>
        <w:t xml:space="preserve">Коррупция </w:t>
      </w:r>
      <w:r>
        <w:t xml:space="preserve">- (от лат. </w:t>
      </w:r>
      <w:r>
        <w:rPr>
          <w:lang w:val="en-US" w:eastAsia="en-US" w:bidi="en-US"/>
        </w:rPr>
        <w:t>corruption</w:t>
      </w:r>
      <w:r w:rsidRPr="00D01620">
        <w:rPr>
          <w:lang w:eastAsia="en-US" w:bidi="en-US"/>
        </w:rPr>
        <w:t xml:space="preserve"> </w:t>
      </w:r>
      <w:r>
        <w:t>- подкуп) - социально-юридическое явление, которое проявля</w:t>
      </w:r>
      <w:r>
        <w:t>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</w:t>
      </w:r>
      <w:r>
        <w:t>зможностей,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</w:t>
      </w:r>
      <w:r>
        <w:t>одов, нецелевое использование вверенных им средств, растрату общественных фондов и другое.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566BF" w:rsidRDefault="00EC014E">
      <w:pPr>
        <w:pStyle w:val="Bodytext20"/>
        <w:shd w:val="clear" w:color="auto" w:fill="auto"/>
        <w:ind w:firstLine="340"/>
      </w:pPr>
      <w:r>
        <w:rPr>
          <w:rStyle w:val="Bodytext2Bold"/>
        </w:rPr>
        <w:t>Субъекты а</w:t>
      </w:r>
      <w:r>
        <w:rPr>
          <w:rStyle w:val="Bodytext2Bold"/>
        </w:rPr>
        <w:t xml:space="preserve">нтикоррупционной политики </w:t>
      </w:r>
      <w:r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7566BF" w:rsidRDefault="00630D18">
      <w:pPr>
        <w:pStyle w:val="Bodytext20"/>
        <w:shd w:val="clear" w:color="auto" w:fill="auto"/>
        <w:ind w:firstLine="340"/>
      </w:pPr>
      <w:r>
        <w:t>МБУ СШОР по пулевой стрельбе «Спартаковец» им. В. В. Карпушкина</w:t>
      </w:r>
      <w:r w:rsidR="00EC014E">
        <w:t xml:space="preserve"> </w:t>
      </w:r>
      <w:r w:rsidR="00EC014E">
        <w:t>субъектами антикоррупционной политики я</w:t>
      </w:r>
      <w:r w:rsidR="00EC014E">
        <w:t>вляются: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42"/>
        </w:tabs>
        <w:ind w:firstLine="340"/>
      </w:pPr>
      <w:r>
        <w:t>тренерский состав;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42"/>
        </w:tabs>
        <w:ind w:firstLine="340"/>
      </w:pPr>
      <w:r>
        <w:t>сотрудники МБУ СШОР</w:t>
      </w:r>
      <w:r>
        <w:t>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42"/>
        </w:tabs>
        <w:ind w:firstLine="340"/>
      </w:pPr>
      <w:r>
        <w:t>спортсмены;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05"/>
        </w:tabs>
        <w:ind w:firstLine="340"/>
      </w:pPr>
      <w:r>
        <w:t>сторонние физические и юридические лица, заинтересованные в качественном оказании услуг занимающимся в Учреждении.</w:t>
      </w:r>
    </w:p>
    <w:p w:rsidR="007566BF" w:rsidRDefault="00EC014E">
      <w:pPr>
        <w:pStyle w:val="Bodytext20"/>
        <w:shd w:val="clear" w:color="auto" w:fill="auto"/>
        <w:ind w:firstLine="340"/>
      </w:pPr>
      <w:r>
        <w:rPr>
          <w:rStyle w:val="Bodytext2Bold"/>
        </w:rPr>
        <w:t xml:space="preserve">Субъекты коррупционных правонарушений </w:t>
      </w:r>
      <w:r>
        <w:t>- физические лица, использующие свой ст</w:t>
      </w:r>
      <w:r>
        <w:t>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7566BF" w:rsidRDefault="00EC014E">
      <w:pPr>
        <w:pStyle w:val="Bodytext20"/>
        <w:shd w:val="clear" w:color="auto" w:fill="auto"/>
        <w:ind w:firstLine="340"/>
      </w:pPr>
      <w:r>
        <w:rPr>
          <w:rStyle w:val="Bodytext2Bold"/>
        </w:rPr>
        <w:t xml:space="preserve">Предупреждение коррупции </w:t>
      </w:r>
      <w:r>
        <w:t>- деятельность субъектов антикоррупционной политики, направленная на изучение, выявление,</w:t>
      </w:r>
      <w:r>
        <w:t xml:space="preserve">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7566BF" w:rsidRDefault="00EC014E">
      <w:pPr>
        <w:pStyle w:val="Bodytext20"/>
        <w:shd w:val="clear" w:color="auto" w:fill="auto"/>
        <w:spacing w:after="240"/>
        <w:ind w:firstLine="340"/>
      </w:pPr>
      <w:r>
        <w:t xml:space="preserve">Противодействие коррупции - скоординированная деятельность федеральных органов </w:t>
      </w:r>
      <w:r>
        <w:lastRenderedPageBreak/>
        <w:t xml:space="preserve">государственной власти, органов государственной </w:t>
      </w:r>
      <w:r>
        <w:t xml:space="preserve">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</w:t>
      </w:r>
      <w:r>
        <w:t>и (или) ликвидации их последствий.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03"/>
        </w:tabs>
        <w:ind w:left="3800"/>
      </w:pPr>
      <w:bookmarkStart w:id="2" w:name="bookmark1"/>
      <w:r>
        <w:t>Задачи комиссии</w:t>
      </w:r>
      <w:bookmarkEnd w:id="2"/>
    </w:p>
    <w:p w:rsidR="007566BF" w:rsidRDefault="00EC014E">
      <w:pPr>
        <w:pStyle w:val="Bodytext20"/>
        <w:shd w:val="clear" w:color="auto" w:fill="auto"/>
        <w:ind w:firstLine="340"/>
      </w:pPr>
      <w:r>
        <w:t>Задачами комиссии являются: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>Участие в выработке и реализации государственной политики в области противодействия коррупции в Учреждении.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 xml:space="preserve">Устранение (минимизация) коррупционных проявлений в деятельности </w:t>
      </w:r>
      <w:r>
        <w:t>Учреждения.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>Координация в рамках своей компетенции деятельности подразделений и должностных лиц Учреждения, должностных лиц, и иных субъектов системы противодействия коррупции по реализации антикоррупционной политики в Учреждении.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>Предварительное (до внесе</w:t>
      </w:r>
      <w:r>
        <w:t>ния на рассмотрение руководителя учреждения) рассмотрение проектов правовых актов и планирующих документов учреждения в сфере противодействия коррупции (при необходимости).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>Контроль за реализацией мероприятий, предусмотренных планами противодействия корруп</w:t>
      </w:r>
      <w:r>
        <w:t>ции в Учреждении.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69"/>
        </w:tabs>
        <w:spacing w:after="240"/>
        <w:ind w:firstLine="340"/>
      </w:pPr>
      <w:r>
        <w:t>Решение иных задач, предусмотренных законодательством Российской Федерации и Самарской области о противодействии коррупции.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83"/>
        </w:tabs>
        <w:ind w:left="2680"/>
      </w:pPr>
      <w:bookmarkStart w:id="3" w:name="bookmark2"/>
      <w:r>
        <w:t>Направления деятельности комиссии</w:t>
      </w:r>
      <w:bookmarkEnd w:id="3"/>
    </w:p>
    <w:p w:rsidR="007566BF" w:rsidRDefault="00EC014E">
      <w:pPr>
        <w:pStyle w:val="Bodytext20"/>
        <w:shd w:val="clear" w:color="auto" w:fill="auto"/>
        <w:ind w:firstLine="340"/>
      </w:pPr>
      <w:r>
        <w:t>Основными направлениями деятельности комиссии являются: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>Осуществление координаци</w:t>
      </w:r>
      <w:r>
        <w:t>и деятельности по реализации антикоррупционной политики в Учреждении.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69"/>
        </w:tabs>
        <w:ind w:firstLine="340"/>
      </w:pPr>
      <w:r>
        <w:t>Анализ коррупционных рисков, выявление причин и условий, способствующих совершению коррупционных правонарушений в Учреждении, и подготовка предложений по их устранению.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74"/>
        </w:tabs>
        <w:ind w:firstLine="340"/>
      </w:pPr>
      <w:r>
        <w:t>Организация антик</w:t>
      </w:r>
      <w:r>
        <w:t>оррупционного мониторинга в Учреждении и рассмотрение его результатов.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>Прием, проверка и рассмотрение поступающих в Комиссию заявлений и обращений, иных сведений об участии должностных лиц, тренерского состава, технических и других сотрудников Учреждения в</w:t>
      </w:r>
      <w:r>
        <w:t xml:space="preserve"> коррупционной деятельности.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78"/>
        </w:tabs>
        <w:ind w:firstLine="340"/>
      </w:pPr>
      <w:r>
        <w:t xml:space="preserve">Рассмотрение поступивших в Учреждение уведомлений о результатах выездных проверок деятельности Учреждения по выполнению программ противодействия коррупции и выявленных нарушениях (недостатках), выработка мер по устранению </w:t>
      </w:r>
      <w:r>
        <w:t>нарушений (недостатков) и учету рекомендаций, данных в ходе выездных проверок.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769"/>
        </w:tabs>
        <w:ind w:firstLine="340"/>
      </w:pPr>
      <w:r>
        <w:t>Рассмотрение поступивших в Учреждение актов прокурорского реагирования и принятие мер по устранению выявленных нарушений в сфере противодействия коррупции.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>Разработка и организа</w:t>
      </w:r>
      <w:r>
        <w:t>ция осуществления комплекса дополнительных мер по реализации антикоррупционной политики с внесением изменений в план противодействия коррупции в Учреждении и план работы Учреждения при выявлении органами прокуратуры, правоохранительными и контролирующими о</w:t>
      </w:r>
      <w:r>
        <w:t>рганами коррупционных правонарушений в Учреждении.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9"/>
        </w:tabs>
        <w:ind w:firstLine="340"/>
      </w:pPr>
      <w:r>
        <w:t>Рассмотрение поступивших в Учреждение заключений по результатам независимой антикоррупционной экспертизы нормативных правовых актов Учреждения.</w:t>
      </w:r>
    </w:p>
    <w:p w:rsidR="007566BF" w:rsidRDefault="00EC014E">
      <w:pPr>
        <w:pStyle w:val="Bodytext20"/>
        <w:numPr>
          <w:ilvl w:val="0"/>
          <w:numId w:val="3"/>
        </w:numPr>
        <w:shd w:val="clear" w:color="auto" w:fill="auto"/>
        <w:tabs>
          <w:tab w:val="left" w:pos="894"/>
        </w:tabs>
        <w:ind w:firstLine="340"/>
      </w:pPr>
      <w:r>
        <w:t>Реализация в Учреждении антикоррупционной политики в сфере за</w:t>
      </w:r>
      <w:r>
        <w:t>купок товаров, работ, услуг для обеспечения государственных нужд.</w:t>
      </w:r>
    </w:p>
    <w:p w:rsidR="007566BF" w:rsidRDefault="00EC014E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ind w:firstLine="340"/>
      </w:pPr>
      <w:r>
        <w:t>Организация проведения мероприятий (семинары, анкетирование, тестирование, «круглые столы», собеседования и др.), способствующих предупреждению коррупции.</w:t>
      </w:r>
    </w:p>
    <w:p w:rsidR="007566BF" w:rsidRDefault="00EC014E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ind w:firstLine="340"/>
      </w:pPr>
      <w:r>
        <w:lastRenderedPageBreak/>
        <w:t>Организация антикоррупционного обра</w:t>
      </w:r>
      <w:r>
        <w:t>зования руководителей и работников Учреждения.</w:t>
      </w:r>
    </w:p>
    <w:p w:rsidR="007566BF" w:rsidRDefault="00EC014E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ind w:firstLine="340"/>
      </w:pPr>
      <w:r>
        <w:t>Антикоррупционная пропаганда, повышение информированности населения и укрепление доверия граждан к деятельности Учреждении в сфере реализации антикоррупционной политики.</w:t>
      </w:r>
    </w:p>
    <w:p w:rsidR="007566BF" w:rsidRDefault="00EC014E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ind w:firstLine="340"/>
      </w:pPr>
      <w:r>
        <w:t>Рассмотрение отчетов и подведение итого</w:t>
      </w:r>
      <w:r>
        <w:t>в выполнения плана противодействия коррупции в Учреждении.</w:t>
      </w:r>
    </w:p>
    <w:p w:rsidR="007566BF" w:rsidRDefault="00EC014E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ind w:firstLine="340"/>
      </w:pPr>
      <w:r>
        <w:t>Подготовка предложений по совершенствованию регионального федерального законодательства в области правового обеспечения противодействия коррупции.</w:t>
      </w:r>
    </w:p>
    <w:p w:rsidR="007566BF" w:rsidRDefault="00EC014E">
      <w:pPr>
        <w:pStyle w:val="Bodytext20"/>
        <w:numPr>
          <w:ilvl w:val="0"/>
          <w:numId w:val="3"/>
        </w:numPr>
        <w:shd w:val="clear" w:color="auto" w:fill="auto"/>
        <w:tabs>
          <w:tab w:val="left" w:pos="962"/>
        </w:tabs>
        <w:spacing w:after="240"/>
        <w:ind w:firstLine="340"/>
      </w:pPr>
      <w:r>
        <w:t>Рассмотрение иных вопросов в соответствии с направ</w:t>
      </w:r>
      <w:r>
        <w:t>лениями деятельности Комиссии.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29"/>
        </w:tabs>
        <w:ind w:left="3020"/>
      </w:pPr>
      <w:bookmarkStart w:id="4" w:name="bookmark3"/>
      <w:r>
        <w:t>Права и обязанности Комиссии</w:t>
      </w:r>
      <w:bookmarkEnd w:id="4"/>
    </w:p>
    <w:p w:rsidR="007566BF" w:rsidRDefault="00EC014E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826"/>
        </w:tabs>
        <w:ind w:firstLine="340"/>
      </w:pPr>
      <w:bookmarkStart w:id="5" w:name="bookmark4"/>
      <w:r>
        <w:t>Комиссия в соответствии с направлениями деятельности имеет право:</w:t>
      </w:r>
      <w:bookmarkEnd w:id="5"/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6"/>
        </w:tabs>
        <w:ind w:firstLine="340"/>
      </w:pPr>
      <w:r>
        <w:t>Осуществлять предварительное рассмотрение заявлений, сообщений и иных документов, поступивших в Комиссию;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6"/>
        </w:tabs>
        <w:ind w:firstLine="340"/>
      </w:pPr>
      <w:r>
        <w:t xml:space="preserve">Запрашивать информацию, </w:t>
      </w:r>
      <w:r>
        <w:t xml:space="preserve">разъяснения по рассматриваемым вопросам от должностных лиц </w:t>
      </w:r>
      <w:r w:rsidR="00630D18">
        <w:t>МБУ СШОР по пулевой стрельбе «Спартаковец» им. В. В. Карпушкина</w:t>
      </w:r>
      <w:r>
        <w:t>, тренеров, спортсменов или сотрудников Учреждения и в случае необходимости приглашает их на свои заседания;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2"/>
        </w:tabs>
        <w:ind w:firstLine="340"/>
      </w:pPr>
      <w:r>
        <w:t>Принимать решения по рассмотренным входящим в ее компетенцию вопросам и выход</w:t>
      </w:r>
      <w:r>
        <w:t>ить с предложениями и рекомендациями к руководству Учреждения;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2"/>
        </w:tabs>
        <w:ind w:firstLine="340"/>
      </w:pPr>
      <w:r>
        <w:t>Контролировать исполнение принимаемых директором решений по вопросам противодействия коррупции;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1004"/>
        </w:tabs>
        <w:ind w:firstLine="340"/>
      </w:pPr>
      <w:r>
        <w:t>Решать вопросы организации деятельности Комиссии;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1004"/>
        </w:tabs>
        <w:ind w:firstLine="340"/>
      </w:pPr>
      <w:r>
        <w:t>Создавать рабочие группы по вопросам, рассматри</w:t>
      </w:r>
      <w:r>
        <w:t>ваемым Комиссией;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71"/>
        </w:tabs>
        <w:ind w:firstLine="340"/>
      </w:pPr>
      <w:r>
        <w:t>Взаимодействовать с органами по противодействию коррупции, созданными в РФ;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2"/>
        </w:tabs>
        <w:ind w:firstLine="340"/>
      </w:pPr>
      <w:r>
        <w:t>Привлекать к работе в Комиссии должностных лиц, тренеров, сотрудников и обучающихся в Учреждении;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2"/>
        </w:tabs>
        <w:ind w:firstLine="340"/>
      </w:pPr>
      <w:r>
        <w:t>Координировать действия рабочих групп по противодействию коррупц</w:t>
      </w:r>
      <w:r>
        <w:t xml:space="preserve">ии структурных подразделений </w:t>
      </w:r>
      <w:r w:rsidR="00630D18">
        <w:t>МБУ СШОР по пулевой стрельбе «Спартаковец» им. В. В. Карпушкина</w:t>
      </w:r>
      <w:r>
        <w:t>, давать им указания, обязательные для выполнения;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1082"/>
        </w:tabs>
        <w:ind w:firstLine="340"/>
      </w:pPr>
      <w:r>
        <w:t>Контролировать выполнение поручений Комиссии в части противодействия коррупции, а также анализировать их ход.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1124"/>
        </w:tabs>
        <w:ind w:firstLine="340"/>
      </w:pPr>
      <w:r>
        <w:t xml:space="preserve">Осуществлять иные в соответствии с направлениями </w:t>
      </w:r>
      <w:r>
        <w:t>деятельности Комиссии.</w:t>
      </w:r>
    </w:p>
    <w:p w:rsidR="007566BF" w:rsidRDefault="00EC014E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826"/>
        </w:tabs>
        <w:ind w:firstLine="340"/>
      </w:pPr>
      <w:bookmarkStart w:id="6" w:name="bookmark5"/>
      <w:r>
        <w:t>Основными обязанностями Комиссии являются:</w:t>
      </w:r>
      <w:bookmarkEnd w:id="6"/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2"/>
        </w:tabs>
        <w:ind w:firstLine="340"/>
      </w:pPr>
      <w:r>
        <w:t>Разработка внутренних документов, регламентирующих функционирование системы противодействия коррупции в Учреждении, а также изменений и дополнений к ним;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71"/>
        </w:tabs>
        <w:ind w:firstLine="340"/>
      </w:pPr>
      <w:r>
        <w:t>Рассмотрение вопросов и выработка пр</w:t>
      </w:r>
      <w:r>
        <w:t>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в Учреждении;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6"/>
        </w:tabs>
        <w:ind w:firstLine="340"/>
      </w:pPr>
      <w:r>
        <w:t>Направление директору Учреждения предложений по урегу</w:t>
      </w:r>
      <w:r>
        <w:t>лированию конфликта интересов, а также ситуаций, связанных с нарушением внутренних документов, регламентирующих вопросы противодействия коррупции в Учреждении для принятия решений;</w:t>
      </w:r>
    </w:p>
    <w:p w:rsidR="007566BF" w:rsidRDefault="00EC014E">
      <w:pPr>
        <w:pStyle w:val="Bodytext20"/>
        <w:numPr>
          <w:ilvl w:val="2"/>
          <w:numId w:val="1"/>
        </w:numPr>
        <w:shd w:val="clear" w:color="auto" w:fill="auto"/>
        <w:tabs>
          <w:tab w:val="left" w:pos="966"/>
        </w:tabs>
        <w:ind w:firstLine="340"/>
      </w:pPr>
      <w:r>
        <w:t xml:space="preserve">Составление отчетов для представления директору Учреждения о рассмотренных </w:t>
      </w:r>
      <w:r>
        <w:t>в отчетном периоде вопросах в рамках противодействия коррупции и принятых по ним решениях.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18"/>
        </w:tabs>
        <w:ind w:left="3360"/>
      </w:pPr>
      <w:bookmarkStart w:id="7" w:name="bookmark6"/>
      <w:r>
        <w:t>Формирование комиссии</w:t>
      </w:r>
      <w:bookmarkEnd w:id="7"/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62"/>
        </w:tabs>
        <w:ind w:firstLine="340"/>
      </w:pPr>
      <w:r>
        <w:t>Комиссия формируется в составе: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lastRenderedPageBreak/>
        <w:t>председателя комиссии;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заместителя председателя комиссии;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членов комиссии;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секретаря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ind w:firstLine="340"/>
      </w:pPr>
      <w:r>
        <w:t xml:space="preserve">Комиссию </w:t>
      </w:r>
      <w:r>
        <w:t>возглавляет директор Учреждения, в случае отсутствия (в период отпуска, болезни или по иным причинам) его полномочия осуществляет один из заместителей председателя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62"/>
        </w:tabs>
        <w:ind w:firstLine="340"/>
      </w:pPr>
      <w:r>
        <w:t>Заместителем председателя комиссии назначается: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ответственный за антикоррупционную</w:t>
      </w:r>
      <w:r>
        <w:t xml:space="preserve"> деятельность в Учреждении.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62"/>
        </w:tabs>
        <w:ind w:firstLine="340"/>
      </w:pPr>
      <w:r>
        <w:t>В состав комиссии в качестве членов комиссии включаются: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заместитель директора;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заместитель директора по АХР;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заместитель директора по спортивной работе;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старший инструктор методист физкультурно-спортивных организаций;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главный б</w:t>
      </w:r>
      <w:r>
        <w:t>ухгалтер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главный инженер.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62"/>
        </w:tabs>
        <w:ind w:firstLine="340"/>
      </w:pPr>
      <w:r>
        <w:t>Секретарем комиссии назначается секретарь Учреждения.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62"/>
        </w:tabs>
        <w:ind w:firstLine="340"/>
      </w:pPr>
      <w:r>
        <w:t>Секретарь Комиссии: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565"/>
        </w:tabs>
        <w:ind w:firstLine="340"/>
      </w:pPr>
      <w:r>
        <w:t>принимает и регистрирует заявления, сообщения, предложения и иные документы от спортсменов, тренеров, должностных лиц или сотрудников Учреждения;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готовит ма</w:t>
      </w:r>
      <w:r>
        <w:t>териалы для рассмотрения вопросов Комиссией;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направляет членам Комиссии материалы к очередному заседанию Комиссии;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ведет протоколы заседаний Комиссии;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ведет документацию Комиссии;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ind w:firstLine="340"/>
      </w:pPr>
      <w:r>
        <w:t>готовит проект годового отчета Комиссии;</w:t>
      </w:r>
    </w:p>
    <w:p w:rsidR="007566BF" w:rsidRDefault="00EC014E">
      <w:pPr>
        <w:pStyle w:val="Bodytext20"/>
        <w:numPr>
          <w:ilvl w:val="0"/>
          <w:numId w:val="2"/>
        </w:numPr>
        <w:shd w:val="clear" w:color="auto" w:fill="auto"/>
        <w:tabs>
          <w:tab w:val="left" w:pos="602"/>
        </w:tabs>
        <w:spacing w:after="240"/>
        <w:ind w:firstLine="340"/>
      </w:pPr>
      <w:r>
        <w:t xml:space="preserve">осуществляет иную работу по </w:t>
      </w:r>
      <w:r>
        <w:t>поручению председателя Комиссии.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98"/>
        </w:tabs>
        <w:ind w:left="3040"/>
      </w:pPr>
      <w:bookmarkStart w:id="8" w:name="bookmark7"/>
      <w:r>
        <w:t>Организация работы комиссии</w:t>
      </w:r>
      <w:bookmarkEnd w:id="8"/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29"/>
        </w:tabs>
        <w:ind w:firstLine="340"/>
      </w:pPr>
      <w:r>
        <w:t>Комиссия самостоятельно определяет порядок своей работы в соответствии с планом деятельности.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ind w:firstLine="340"/>
      </w:pPr>
      <w:r>
        <w:t>Основной формой работы Комиссии являются заседания Комиссии, которые проводятся регулярно, не реже од</w:t>
      </w:r>
      <w:r>
        <w:t>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4"/>
        </w:tabs>
        <w:ind w:firstLine="340"/>
      </w:pPr>
      <w:r>
        <w:t>Проект повестки заседания Комиссии формируется на основании предложений членов Комиссии. Повестка заседания Коми</w:t>
      </w:r>
      <w:r>
        <w:t>ссии утверждается на заседании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4"/>
        </w:tabs>
        <w:ind w:firstLine="340"/>
      </w:pPr>
      <w:r>
        <w:t>Материалы к заседанию за два дня до дня заседания Комиссии направляются членам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ind w:firstLine="340"/>
      </w:pPr>
      <w:r>
        <w:t>Заседание Комиссии правомочно, если на нем присутствует не менее 2/3 членов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ind w:firstLine="340"/>
      </w:pPr>
      <w:r>
        <w:t xml:space="preserve">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заседании, он обязан заблаговременно изве</w:t>
      </w:r>
      <w:r>
        <w:t>стить об этом Председателя Комиссии. 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ind w:firstLine="340"/>
      </w:pPr>
      <w:r>
        <w:t>Решения Комиссии принимаются большинством голосов от числа присутствующих члено</w:t>
      </w:r>
      <w:r>
        <w:t>в Комиссии. 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29"/>
        </w:tabs>
        <w:ind w:firstLine="340"/>
        <w:jc w:val="left"/>
      </w:pPr>
      <w:r>
        <w:t>Каждое заседание Комиссии оформляется протоколом заседания Комиссии, который подписывает председательс</w:t>
      </w:r>
      <w:r>
        <w:t>твующий на заседании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29"/>
        </w:tabs>
        <w:spacing w:after="240"/>
        <w:ind w:firstLine="340"/>
        <w:jc w:val="left"/>
      </w:pPr>
      <w:r>
        <w:t xml:space="preserve">К работе Комиссии с правом совещательного голоса могут быть привлечены </w:t>
      </w:r>
      <w:r>
        <w:lastRenderedPageBreak/>
        <w:t>специалисты, эксперты, представители организаций, другие лица.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58"/>
        </w:tabs>
        <w:ind w:left="3600"/>
      </w:pPr>
      <w:bookmarkStart w:id="9" w:name="bookmark8"/>
      <w:r>
        <w:t>Внесение изменений</w:t>
      </w:r>
      <w:bookmarkEnd w:id="9"/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29"/>
        </w:tabs>
        <w:ind w:firstLine="340"/>
        <w:jc w:val="left"/>
      </w:pPr>
      <w:r>
        <w:t>Внесение изменений и дополнений в настоящее Положение осуществляется пут</w:t>
      </w:r>
      <w:r>
        <w:t>ем подготовки проекта Положения в новой редакции заместителем председателя Комиссии.</w:t>
      </w:r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34"/>
        </w:tabs>
        <w:spacing w:after="240"/>
        <w:ind w:firstLine="340"/>
        <w:jc w:val="left"/>
      </w:pPr>
      <w:r>
        <w:t>Утверждение Положения с изменениями и дополнениями осуществляется директором Учреждения.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98"/>
        </w:tabs>
        <w:ind w:left="540"/>
      </w:pPr>
      <w:bookmarkStart w:id="10" w:name="bookmark9"/>
      <w:r>
        <w:t>Порядок создания, ликвидации, реорганизации и переименования комиссии</w:t>
      </w:r>
      <w:bookmarkEnd w:id="10"/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29"/>
        </w:tabs>
        <w:spacing w:after="267"/>
        <w:ind w:firstLine="340"/>
        <w:jc w:val="left"/>
      </w:pPr>
      <w:r>
        <w:t xml:space="preserve">Комиссия </w:t>
      </w:r>
      <w:r>
        <w:t>создается, ликвидируется, реорганизуется и переименовывается приказом директора Учреждения.</w:t>
      </w:r>
    </w:p>
    <w:p w:rsidR="007566BF" w:rsidRDefault="00EC01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78"/>
        </w:tabs>
        <w:spacing w:line="240" w:lineRule="exact"/>
        <w:ind w:left="3220"/>
      </w:pPr>
      <w:bookmarkStart w:id="11" w:name="bookmark10"/>
      <w:r>
        <w:t>Заключительное положение</w:t>
      </w:r>
      <w:bookmarkEnd w:id="11"/>
    </w:p>
    <w:p w:rsidR="007566BF" w:rsidRDefault="00EC014E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line="240" w:lineRule="exact"/>
        <w:ind w:left="340"/>
      </w:pPr>
      <w:r>
        <w:t>Положение вступает в силу с момента его утверждения директором Учреждения.</w:t>
      </w:r>
    </w:p>
    <w:sectPr w:rsidR="007566BF">
      <w:pgSz w:w="11900" w:h="16840"/>
      <w:pgMar w:top="1143" w:right="818" w:bottom="1321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4E" w:rsidRDefault="00EC014E">
      <w:r>
        <w:separator/>
      </w:r>
    </w:p>
  </w:endnote>
  <w:endnote w:type="continuationSeparator" w:id="0">
    <w:p w:rsidR="00EC014E" w:rsidRDefault="00E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4E" w:rsidRDefault="00EC014E"/>
  </w:footnote>
  <w:footnote w:type="continuationSeparator" w:id="0">
    <w:p w:rsidR="00EC014E" w:rsidRDefault="00EC0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1FCE"/>
    <w:multiLevelType w:val="multilevel"/>
    <w:tmpl w:val="A63A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41E38"/>
    <w:multiLevelType w:val="multilevel"/>
    <w:tmpl w:val="21AC4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496EFE"/>
    <w:multiLevelType w:val="multilevel"/>
    <w:tmpl w:val="A16E8EE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BF"/>
    <w:rsid w:val="00236D72"/>
    <w:rsid w:val="00485601"/>
    <w:rsid w:val="00630D18"/>
    <w:rsid w:val="007356D7"/>
    <w:rsid w:val="007566BF"/>
    <w:rsid w:val="00D01620"/>
    <w:rsid w:val="00D17872"/>
    <w:rsid w:val="00DF1774"/>
    <w:rsid w:val="00E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EC3B-5657-49E1-94E5-E651102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rPr>
      <w:rFonts w:ascii="Verdana" w:eastAsia="Verdana" w:hAnsi="Verdana" w:cs="Verdan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7740" w:after="60" w:line="0" w:lineRule="atLeast"/>
      <w:jc w:val="center"/>
    </w:pPr>
    <w:rPr>
      <w:rFonts w:ascii="Verdana" w:eastAsia="Verdana" w:hAnsi="Verdana" w:cs="Verdana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6D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D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cp:lastPrinted>2021-04-14T13:56:00Z</cp:lastPrinted>
  <dcterms:created xsi:type="dcterms:W3CDTF">2021-04-14T13:57:00Z</dcterms:created>
  <dcterms:modified xsi:type="dcterms:W3CDTF">2021-04-14T13:57:00Z</dcterms:modified>
</cp:coreProperties>
</file>