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6C" w:rsidRDefault="00E93F6C">
      <w:pPr>
        <w:pStyle w:val="Heading10"/>
        <w:keepNext/>
        <w:keepLines/>
        <w:shd w:val="clear" w:color="auto" w:fill="auto"/>
        <w:ind w:left="4520" w:firstLine="0"/>
      </w:pPr>
      <w:bookmarkStart w:id="0" w:name="bookmark0"/>
    </w:p>
    <w:p w:rsidR="00E93F6C" w:rsidRDefault="00E93F6C">
      <w:pPr>
        <w:pStyle w:val="Heading10"/>
        <w:keepNext/>
        <w:keepLines/>
        <w:shd w:val="clear" w:color="auto" w:fill="auto"/>
        <w:ind w:left="4520" w:firstLine="0"/>
      </w:pPr>
    </w:p>
    <w:p w:rsidR="00D010E9" w:rsidRDefault="007A3D8E">
      <w:pPr>
        <w:pStyle w:val="Heading10"/>
        <w:keepNext/>
        <w:keepLines/>
        <w:shd w:val="clear" w:color="auto" w:fill="auto"/>
        <w:ind w:left="4520" w:firstLine="0"/>
      </w:pPr>
      <w:r>
        <w:t>1.Общие положения.</w:t>
      </w:r>
      <w:bookmarkEnd w:id="0"/>
    </w:p>
    <w:p w:rsidR="00D010E9" w:rsidRDefault="007A3D8E">
      <w:pPr>
        <w:pStyle w:val="Bodytext20"/>
        <w:numPr>
          <w:ilvl w:val="0"/>
          <w:numId w:val="1"/>
        </w:numPr>
        <w:shd w:val="clear" w:color="auto" w:fill="auto"/>
        <w:tabs>
          <w:tab w:val="left" w:pos="1191"/>
        </w:tabs>
        <w:ind w:firstLine="740"/>
      </w:pPr>
      <w:r>
        <w:t xml:space="preserve">Настоящая </w:t>
      </w:r>
      <w:r>
        <w:t xml:space="preserve">Антикоррупционная политика (далее - «Политика») является базовым документом </w:t>
      </w:r>
      <w:r w:rsidR="005B4744">
        <w:t>МБУ СШОР по пулевой стрельбе «Спартаковец» им. В.В.Карпушкина</w:t>
      </w:r>
      <w:r>
        <w:t xml:space="preserve"> (далее - Учреждение), определяющим ключевые принципы и требования, направленные на предотвращение коррупции и соблюдение норм антикоррупционного закон</w:t>
      </w:r>
      <w:r>
        <w:t>одательства Российской Федерации, работниками и иными лицами, которые могут действовать от имени Учреждения.</w:t>
      </w:r>
    </w:p>
    <w:p w:rsidR="00D010E9" w:rsidRDefault="007A3D8E">
      <w:pPr>
        <w:pStyle w:val="Bodytext20"/>
        <w:numPr>
          <w:ilvl w:val="0"/>
          <w:numId w:val="1"/>
        </w:numPr>
        <w:shd w:val="clear" w:color="auto" w:fill="auto"/>
        <w:tabs>
          <w:tab w:val="left" w:pos="1191"/>
        </w:tabs>
        <w:ind w:firstLine="740"/>
      </w:pPr>
      <w:r>
        <w:t>Антикоррупционная политика разработана на основе Федерального закона Российской Федерации от 25.12.2008 № 273-ФЗ «О противодействии коррупции», Мет</w:t>
      </w:r>
      <w:r>
        <w:t>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D010E9" w:rsidRDefault="007A3D8E">
      <w:pPr>
        <w:pStyle w:val="Bodytext20"/>
        <w:numPr>
          <w:ilvl w:val="0"/>
          <w:numId w:val="1"/>
        </w:numPr>
        <w:shd w:val="clear" w:color="auto" w:fill="auto"/>
        <w:tabs>
          <w:tab w:val="left" w:pos="1192"/>
        </w:tabs>
        <w:ind w:firstLine="740"/>
      </w:pPr>
      <w:r>
        <w:t>Настоящей Антикоррупционной политикой устанавливаются</w:t>
      </w:r>
      <w:r>
        <w:t>: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ind w:firstLine="740"/>
      </w:pPr>
      <w:r>
        <w:t>основные принципы противодействия коррупции;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ind w:firstLine="740"/>
      </w:pPr>
      <w:r>
        <w:t>правовые и организационные основы предупреждения коррупции и борьбы с ней;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ind w:firstLine="740"/>
      </w:pPr>
      <w:r>
        <w:t>минимизации и (или) ликвидации последствий коррупционных правонарушений.</w:t>
      </w:r>
    </w:p>
    <w:p w:rsidR="00D010E9" w:rsidRDefault="007A3D8E">
      <w:pPr>
        <w:pStyle w:val="Bodytext20"/>
        <w:numPr>
          <w:ilvl w:val="0"/>
          <w:numId w:val="1"/>
        </w:numPr>
        <w:shd w:val="clear" w:color="auto" w:fill="auto"/>
        <w:tabs>
          <w:tab w:val="left" w:pos="1421"/>
        </w:tabs>
        <w:ind w:firstLine="740"/>
      </w:pPr>
      <w:r>
        <w:t xml:space="preserve">Антикоррупционная политика Учреждения представляет собой </w:t>
      </w:r>
      <w:r>
        <w:t>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D010E9" w:rsidRDefault="007A3D8E">
      <w:pPr>
        <w:pStyle w:val="Bodytext20"/>
        <w:numPr>
          <w:ilvl w:val="0"/>
          <w:numId w:val="1"/>
        </w:numPr>
        <w:shd w:val="clear" w:color="auto" w:fill="auto"/>
        <w:tabs>
          <w:tab w:val="left" w:pos="1211"/>
        </w:tabs>
        <w:ind w:left="740" w:right="2020"/>
        <w:jc w:val="left"/>
      </w:pPr>
      <w:r>
        <w:t>В соответствии со ст.13.3 Федерального закона № 273-ФЗ меры по предупреждению коррупции, принимаем</w:t>
      </w:r>
      <w:r>
        <w:t>ые в Учреждении, могут включать:</w:t>
      </w:r>
    </w:p>
    <w:p w:rsidR="00D010E9" w:rsidRDefault="007A3D8E">
      <w:pPr>
        <w:pStyle w:val="Bodytext20"/>
        <w:numPr>
          <w:ilvl w:val="0"/>
          <w:numId w:val="3"/>
        </w:numPr>
        <w:shd w:val="clear" w:color="auto" w:fill="auto"/>
        <w:tabs>
          <w:tab w:val="left" w:pos="1062"/>
        </w:tabs>
        <w:ind w:left="740" w:right="2940"/>
        <w:jc w:val="left"/>
      </w:pPr>
      <w:r>
        <w:t>определение должностных лиц, ответственных за профилактику коррупционных и иных правонарушений;</w:t>
      </w:r>
    </w:p>
    <w:p w:rsidR="00D010E9" w:rsidRDefault="007A3D8E">
      <w:pPr>
        <w:pStyle w:val="Bodytext20"/>
        <w:numPr>
          <w:ilvl w:val="0"/>
          <w:numId w:val="3"/>
        </w:numPr>
        <w:shd w:val="clear" w:color="auto" w:fill="auto"/>
        <w:tabs>
          <w:tab w:val="left" w:pos="1067"/>
        </w:tabs>
        <w:ind w:firstLine="740"/>
      </w:pPr>
      <w:r>
        <w:t>сотрудничество Учреждения с правоохранительными органами;</w:t>
      </w:r>
    </w:p>
    <w:p w:rsidR="00D010E9" w:rsidRDefault="007A3D8E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ind w:firstLine="740"/>
      </w:pPr>
      <w:r>
        <w:t>разработку и внедрение в практику стандартов и процедур, направленных</w:t>
      </w:r>
      <w:r>
        <w:t xml:space="preserve"> на обеспечение добросовестной работы организации;</w:t>
      </w:r>
    </w:p>
    <w:p w:rsidR="00D010E9" w:rsidRDefault="007A3D8E">
      <w:pPr>
        <w:pStyle w:val="Bodytext20"/>
        <w:numPr>
          <w:ilvl w:val="0"/>
          <w:numId w:val="3"/>
        </w:numPr>
        <w:shd w:val="clear" w:color="auto" w:fill="auto"/>
        <w:tabs>
          <w:tab w:val="left" w:pos="1067"/>
        </w:tabs>
        <w:ind w:left="740" w:right="3260"/>
        <w:jc w:val="left"/>
      </w:pPr>
      <w:r>
        <w:t>принятие кодекса этики и служебного поведения работников Учреждения;</w:t>
      </w:r>
    </w:p>
    <w:p w:rsidR="00D010E9" w:rsidRDefault="007A3D8E">
      <w:pPr>
        <w:pStyle w:val="Bodytext20"/>
        <w:numPr>
          <w:ilvl w:val="0"/>
          <w:numId w:val="3"/>
        </w:numPr>
        <w:shd w:val="clear" w:color="auto" w:fill="auto"/>
        <w:tabs>
          <w:tab w:val="left" w:pos="1067"/>
        </w:tabs>
        <w:ind w:firstLine="740"/>
      </w:pPr>
      <w:r>
        <w:t>предотвращение и урегулирование конфликта интересов;</w:t>
      </w:r>
    </w:p>
    <w:p w:rsidR="00D010E9" w:rsidRDefault="007A3D8E">
      <w:pPr>
        <w:pStyle w:val="Bodytext20"/>
        <w:numPr>
          <w:ilvl w:val="0"/>
          <w:numId w:val="3"/>
        </w:numPr>
        <w:shd w:val="clear" w:color="auto" w:fill="auto"/>
        <w:tabs>
          <w:tab w:val="left" w:pos="1191"/>
        </w:tabs>
        <w:ind w:firstLine="740"/>
      </w:pPr>
      <w:r>
        <w:t>недопущение составления неофициальной отчетности и использования поддельных докумен</w:t>
      </w:r>
      <w:r>
        <w:t>тов.</w:t>
      </w:r>
    </w:p>
    <w:p w:rsidR="00D010E9" w:rsidRDefault="007A3D8E">
      <w:pPr>
        <w:pStyle w:val="Bodytext20"/>
        <w:shd w:val="clear" w:color="auto" w:fill="auto"/>
        <w:ind w:left="740" w:right="2520"/>
        <w:jc w:val="left"/>
      </w:pPr>
      <w:r>
        <w:t>Антикоррупционная политика Учреждения направлена на реализацию данных мер.</w:t>
      </w:r>
    </w:p>
    <w:p w:rsidR="00D010E9" w:rsidRDefault="007A3D8E">
      <w:pPr>
        <w:pStyle w:val="Bodytext20"/>
        <w:numPr>
          <w:ilvl w:val="0"/>
          <w:numId w:val="1"/>
        </w:numPr>
        <w:shd w:val="clear" w:color="auto" w:fill="auto"/>
        <w:tabs>
          <w:tab w:val="left" w:pos="1191"/>
        </w:tabs>
        <w:ind w:firstLine="740"/>
      </w:pPr>
      <w:r>
        <w:t>Для целей настоящей Антикоррупционной политики используются следующие основные понятия: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Коррупция </w:t>
      </w:r>
      <w:r>
        <w:t xml:space="preserve">- злоупотребление служебным положением, дача взятки, получение взятки, </w:t>
      </w:r>
      <w: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</w:t>
      </w:r>
      <w:r>
        <w:t>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</w:t>
      </w:r>
      <w:r>
        <w:t>ического лица (пункт 1 статьи 1 Федерального закона от 25.12.2008 № 273-ФЗ «О противодействии коррупции»).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Противодействие коррупции </w:t>
      </w:r>
      <w:r>
        <w:t>- деятельность федеральных органов государственной власти, органов государственной власти субъектов Российской Федерации, о</w:t>
      </w:r>
      <w:r>
        <w:t>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D010E9" w:rsidRDefault="007A3D8E">
      <w:pPr>
        <w:pStyle w:val="Bodytext20"/>
        <w:shd w:val="clear" w:color="auto" w:fill="auto"/>
        <w:ind w:firstLine="740"/>
      </w:pPr>
      <w:r>
        <w:t>по предупреждению коррупции, в том числе по</w:t>
      </w:r>
      <w:r>
        <w:t xml:space="preserve"> выявлению и последующему устранению причин коррупции (профилактика коррупции);</w:t>
      </w:r>
    </w:p>
    <w:p w:rsidR="00D010E9" w:rsidRDefault="007A3D8E">
      <w:pPr>
        <w:pStyle w:val="Bodytext20"/>
        <w:shd w:val="clear" w:color="auto" w:fill="auto"/>
        <w:ind w:firstLine="740"/>
      </w:pP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010E9" w:rsidRDefault="007A3D8E">
      <w:pPr>
        <w:pStyle w:val="Bodytext20"/>
        <w:shd w:val="clear" w:color="auto" w:fill="auto"/>
        <w:ind w:firstLine="740"/>
        <w:jc w:val="left"/>
      </w:pPr>
      <w:r>
        <w:t>по минимизации и (или) ликвидации последствий коррупцион</w:t>
      </w:r>
      <w:r>
        <w:t xml:space="preserve">ных правонарушений. </w:t>
      </w:r>
      <w:r w:rsidR="005B4744">
        <w:t xml:space="preserve">  </w:t>
      </w:r>
      <w:bookmarkStart w:id="1" w:name="_GoBack"/>
      <w:bookmarkEnd w:id="1"/>
      <w:r>
        <w:rPr>
          <w:rStyle w:val="Bodytext2Bold"/>
        </w:rPr>
        <w:lastRenderedPageBreak/>
        <w:t xml:space="preserve">Учреждение </w:t>
      </w:r>
      <w:r>
        <w:t>- юридическое лицо независимо от формы собственности, организационно</w:t>
      </w:r>
      <w:r w:rsidR="005B4744">
        <w:t>-</w:t>
      </w:r>
      <w:r>
        <w:softHyphen/>
        <w:t>правовой формы и отраслевой принадлежности.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Контрагент </w:t>
      </w:r>
      <w:r>
        <w:t xml:space="preserve">- любое российское или иностранное юридическое или физическое лицо, с которым организация вступает в </w:t>
      </w:r>
      <w:r>
        <w:t>договорные отношения, за исключением трудовых отношений.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Взятка </w:t>
      </w:r>
      <w: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</w:t>
      </w:r>
      <w:r>
        <w:t>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</w:t>
      </w:r>
      <w:r>
        <w:t>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Коммерческий подкуп </w:t>
      </w:r>
      <w:r>
        <w:t>- незаконные передача лицу, выполняющему управленческие функции в</w:t>
      </w:r>
      <w:r>
        <w:t xml:space="preserve">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</w:t>
      </w:r>
      <w:r>
        <w:t xml:space="preserve"> положением (часть 1 статьи 204 Уголовного кодекса Российской Федерации).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Конфликт интересов </w:t>
      </w:r>
      <w: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</w:t>
      </w:r>
      <w:r>
        <w:t>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</w:t>
      </w:r>
      <w:r>
        <w:t xml:space="preserve"> и законным интересам, имуществу и (или) деловой репутации Учреждения, работником (представителем Учреждение) которой он является.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Личная заинтересованность работника </w:t>
      </w:r>
      <w:r>
        <w:t>(представителя Учреждения - заинтересованность работника (представителя Учреждения, связа</w:t>
      </w:r>
      <w:r>
        <w:t>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Кодекс </w:t>
      </w:r>
      <w:r>
        <w:rPr>
          <w:rStyle w:val="Bodytext2Bold"/>
        </w:rPr>
        <w:t xml:space="preserve">этики и служебного поведения </w:t>
      </w:r>
      <w:r>
        <w:t>-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замещаемой ими должности.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Близкие родственники </w:t>
      </w:r>
      <w:r>
        <w:t>- лица, состоящ</w:t>
      </w:r>
      <w:r>
        <w:t>ие в родственных отношениях (родители и дети, супруги, гражданские супруги, бабушка, дедушка и внуки, родные и двоюродные братья и сестры, усыновители и усыновленные).</w:t>
      </w:r>
    </w:p>
    <w:p w:rsidR="00D010E9" w:rsidRDefault="007A3D8E">
      <w:pPr>
        <w:pStyle w:val="Bodytext20"/>
        <w:shd w:val="clear" w:color="auto" w:fill="auto"/>
        <w:ind w:firstLine="740"/>
      </w:pPr>
      <w:r>
        <w:rPr>
          <w:rStyle w:val="Bodytext2Bold"/>
        </w:rPr>
        <w:t xml:space="preserve">Работники Учреждения </w:t>
      </w:r>
      <w:r>
        <w:t xml:space="preserve">- руководители и работники муниципальных учреждений и предприятий, </w:t>
      </w:r>
      <w:r>
        <w:t>находящихся в ведомственном подчинении администрации городского округа Тольятти.</w:t>
      </w:r>
    </w:p>
    <w:p w:rsidR="00D010E9" w:rsidRDefault="007A3D8E">
      <w:pPr>
        <w:pStyle w:val="Heading10"/>
        <w:keepNext/>
        <w:keepLines/>
        <w:numPr>
          <w:ilvl w:val="0"/>
          <w:numId w:val="4"/>
        </w:numPr>
        <w:shd w:val="clear" w:color="auto" w:fill="auto"/>
        <w:ind w:left="2440" w:firstLine="0"/>
      </w:pPr>
      <w:bookmarkStart w:id="2" w:name="bookmark1"/>
      <w:r>
        <w:t>Цели и задачи внедрения антикоррупционной политики</w:t>
      </w:r>
      <w:bookmarkEnd w:id="2"/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705"/>
        </w:tabs>
        <w:ind w:firstLine="740"/>
      </w:pPr>
      <w:r>
        <w:t>Основными целями антикоррупционной политики являются: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08"/>
        </w:tabs>
        <w:ind w:firstLine="740"/>
      </w:pPr>
      <w:r>
        <w:t xml:space="preserve">формирование единого подхода к обеспечению работы по профилактике и </w:t>
      </w:r>
      <w:r>
        <w:t>противодействию коррупции в Учреждении;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предупреждение коррупции в Учреждении;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обеспечение ответственности за коррупционные правонарушения;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формирование антикоррупционного сознания у работников Учреждения;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6"/>
        </w:tabs>
        <w:ind w:firstLine="740"/>
      </w:pPr>
      <w:r>
        <w:t>Основные задачи антикоррупционной политики Учрежде</w:t>
      </w:r>
      <w:r>
        <w:t>ния: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13"/>
        </w:tabs>
        <w:ind w:firstLine="740"/>
      </w:pPr>
      <w:r>
        <w:t>формирование у работников понимания позиции Учреждения в неприятии коррупции в любых формах и проявлениях;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минимизация риска вовлечения работников Учреждения в коррупционную деятельность;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обеспечение ответственности за коррупционные правонарушения;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мо</w:t>
      </w:r>
      <w:r>
        <w:t>ниторинг эффективности мероприятий антикоррупционной политики;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08"/>
        </w:tabs>
        <w:ind w:firstLine="740"/>
      </w:pPr>
      <w: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D010E9" w:rsidRDefault="007A3D8E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023"/>
        </w:tabs>
        <w:ind w:left="1720" w:firstLine="0"/>
        <w:jc w:val="both"/>
      </w:pPr>
      <w:bookmarkStart w:id="3" w:name="bookmark2"/>
      <w:r>
        <w:lastRenderedPageBreak/>
        <w:t>Основные принципы антикоррупционной деятельно</w:t>
      </w:r>
      <w:r>
        <w:t>сти Учреждения</w:t>
      </w:r>
      <w:bookmarkEnd w:id="3"/>
    </w:p>
    <w:p w:rsidR="00D010E9" w:rsidRDefault="007A3D8E">
      <w:pPr>
        <w:pStyle w:val="Bodytext20"/>
        <w:shd w:val="clear" w:color="auto" w:fill="auto"/>
        <w:ind w:firstLine="740"/>
      </w:pPr>
      <w:r>
        <w:t>Система мер противодействия коррупции в Учреждении основывается на следующих ключевых принципах: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180"/>
        </w:tabs>
        <w:ind w:firstLine="740"/>
      </w:pPr>
      <w: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185"/>
        </w:tabs>
        <w:ind w:firstLine="740"/>
      </w:pPr>
      <w:r>
        <w:t xml:space="preserve">обеспечение чёткой правовой </w:t>
      </w:r>
      <w:r>
        <w:t>регламентации деятельности, законности и гласности такой деятельности, государственного и общественного контроля за ней: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11"/>
        </w:tabs>
        <w:ind w:firstLine="740"/>
      </w:pPr>
      <w: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11"/>
        </w:tabs>
        <w:ind w:firstLine="740"/>
      </w:pPr>
      <w:r>
        <w:t>постоянный контрол</w:t>
      </w:r>
      <w:r>
        <w:t>ь и регулярное осуществление мониторинга эффективности внедренных антикоррупционных стандартов и процедур, а также контроля за их исполнением;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</w:pPr>
      <w:r>
        <w:t>приоритета защиты прав и законных интересов физических и юридических лиц;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</w:pPr>
      <w:r>
        <w:t>взаимодействие с общественными объедине</w:t>
      </w:r>
      <w:r>
        <w:t>ниями и гражданами:</w:t>
      </w:r>
    </w:p>
    <w:p w:rsidR="00D010E9" w:rsidRDefault="007A3D8E">
      <w:pPr>
        <w:pStyle w:val="Bodytext20"/>
        <w:shd w:val="clear" w:color="auto" w:fill="auto"/>
        <w:ind w:firstLine="740"/>
      </w:pPr>
      <w: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180"/>
        </w:tabs>
        <w:ind w:firstLine="740"/>
      </w:pPr>
      <w:r>
        <w:t>соответствия политики Учреждения действующему законодате</w:t>
      </w:r>
      <w:r>
        <w:t>льству и общепринятым нормам:</w:t>
      </w:r>
    </w:p>
    <w:p w:rsidR="00D010E9" w:rsidRDefault="007A3D8E">
      <w:pPr>
        <w:pStyle w:val="Bodytext20"/>
        <w:shd w:val="clear" w:color="auto" w:fill="auto"/>
        <w:ind w:firstLine="740"/>
      </w:pPr>
      <w:r>
        <w:t>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</w:t>
      </w:r>
      <w:r>
        <w:t>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</w:t>
      </w:r>
      <w:r>
        <w:t>мым к Учреждению;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</w:pPr>
      <w:r>
        <w:t>личного примера руководства Учреждением:</w:t>
      </w:r>
    </w:p>
    <w:p w:rsidR="00D010E9" w:rsidRDefault="007A3D8E">
      <w:pPr>
        <w:pStyle w:val="Bodytext20"/>
        <w:shd w:val="clear" w:color="auto" w:fill="auto"/>
        <w:ind w:firstLine="740"/>
      </w:pPr>
      <w: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</w:pPr>
      <w:r>
        <w:t>соразмерности антикорруп</w:t>
      </w:r>
      <w:r>
        <w:t>ционных процедур риску коррупции:</w:t>
      </w:r>
    </w:p>
    <w:p w:rsidR="00D010E9" w:rsidRDefault="007A3D8E">
      <w:pPr>
        <w:pStyle w:val="Bodytext20"/>
        <w:shd w:val="clear" w:color="auto" w:fill="auto"/>
        <w:ind w:firstLine="740"/>
      </w:pPr>
      <w: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</w:t>
      </w:r>
      <w:r>
        <w:t>ния коррупционных рисков;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</w:pPr>
      <w:r>
        <w:t>эффективности антикоррупционных процедур:</w:t>
      </w:r>
    </w:p>
    <w:p w:rsidR="00D010E9" w:rsidRDefault="007A3D8E">
      <w:pPr>
        <w:pStyle w:val="Bodytext20"/>
        <w:shd w:val="clear" w:color="auto" w:fill="auto"/>
        <w:ind w:firstLine="740"/>
      </w:pPr>
      <w:r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</w:pPr>
      <w:r>
        <w:t>ответственности и неотвратимост</w:t>
      </w:r>
      <w:r>
        <w:t>и наказания:</w:t>
      </w:r>
    </w:p>
    <w:p w:rsidR="00D010E9" w:rsidRDefault="007A3D8E">
      <w:pPr>
        <w:pStyle w:val="Bodytext20"/>
        <w:shd w:val="clear" w:color="auto" w:fill="auto"/>
        <w:ind w:firstLine="740"/>
      </w:pPr>
      <w: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</w:t>
      </w:r>
      <w:r>
        <w:t>ответственность руководства Учреждения за реализацию внутриорганизационной антикоррупционной политики.</w:t>
      </w:r>
    </w:p>
    <w:p w:rsidR="00D010E9" w:rsidRDefault="007A3D8E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1382"/>
        </w:tabs>
        <w:ind w:left="1740"/>
      </w:pPr>
      <w:bookmarkStart w:id="4" w:name="bookmark3"/>
      <w:r>
        <w:t>Основными направлениями деятельности Учреждения в сфере противодействия коррупции, в пределах предоставленных полномочий являются:</w:t>
      </w:r>
      <w:bookmarkEnd w:id="4"/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9"/>
        </w:tabs>
        <w:ind w:firstLine="740"/>
      </w:pPr>
      <w:r>
        <w:t>Проведение единой поли</w:t>
      </w:r>
      <w:r>
        <w:t>тики в области противодействия коррупции.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180"/>
        </w:tabs>
        <w:ind w:firstLine="740"/>
      </w:pPr>
      <w:r>
        <w:t>Взаимодействие с уполномоченным органом администрации городского округа Тольятти в сфере противодействия коррупции, органом администрации, в ведомственном подчинении которого находится Учреждение, комиссией при адм</w:t>
      </w:r>
      <w:r>
        <w:t>инистрации по противодействию коррупции, федеральными органами исполнительной власти, гражданами и институтами гражданского общества по вопросам реализации антикоррупционного законодательства.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190"/>
        </w:tabs>
        <w:ind w:firstLine="740"/>
      </w:pPr>
      <w:r>
        <w:t>Создание и обеспечение деятельности комиссии по противодействию</w:t>
      </w:r>
      <w:r>
        <w:t xml:space="preserve"> коррупции и урегулированию конфликта интересов.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</w:pPr>
      <w:r>
        <w:t>Закрепление основных норм антикоррупционного законодательства в Уставе Учреждения, в Коллективном договоре и в трудовых договорах.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180"/>
        </w:tabs>
        <w:ind w:firstLine="740"/>
      </w:pPr>
      <w:r>
        <w:t xml:space="preserve">Совершенствование структуры Учреждения с одновременным привлечением на </w:t>
      </w:r>
      <w:r>
        <w:t xml:space="preserve">работу </w:t>
      </w:r>
      <w:r>
        <w:lastRenderedPageBreak/>
        <w:t>квалифицированных специалистов.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9"/>
        </w:tabs>
        <w:ind w:firstLine="740"/>
      </w:pPr>
      <w:r>
        <w:t>Публичность и открытость деятельности Учреждения.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55"/>
        </w:tabs>
        <w:ind w:firstLine="740"/>
      </w:pPr>
      <w:r>
        <w:t>Предотвращение и урегулирование конфликта интересов. Ограничение влияния частных интересов, личной заинтересованности работников Учреждения на реализуемые ими трудовые</w:t>
      </w:r>
      <w:r>
        <w:t xml:space="preserve"> функции и принимаемые деловые решения.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55"/>
        </w:tabs>
        <w:ind w:firstLine="740"/>
      </w:pPr>
      <w:r>
        <w:t>Обеспечение добросовестности, открытости, прозрачности, добросовестной конкуренции и объективности при осуществлении закупок товаров, работ и услуг.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55"/>
        </w:tabs>
        <w:ind w:firstLine="740"/>
      </w:pPr>
      <w:r>
        <w:t>Проведение юридической и антикоррупционной экспертизы действующих н</w:t>
      </w:r>
      <w:r>
        <w:t>ормативных актов и проектов нормативных актов Учреждения, с целью своевременного выявления и устранения коррупциогенных факторов.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97"/>
        </w:tabs>
        <w:ind w:firstLine="740"/>
      </w:pPr>
      <w:r>
        <w:t>Соблюдение работниками Учреждения этических норм и правил служебного поведения с целью достойного выполнения возложенных задач</w:t>
      </w:r>
      <w:r>
        <w:t xml:space="preserve"> и функций (соблюдение Кодекса этики и служебного поведения).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361"/>
        </w:tabs>
        <w:ind w:firstLine="740"/>
      </w:pPr>
      <w:r>
        <w:t>Соблюдение работниками Учреждения требований трудового и антикоррупционного законодательства.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97"/>
        </w:tabs>
        <w:ind w:firstLine="740"/>
      </w:pPr>
      <w:r>
        <w:t>Проведение антикоррупционной пропаганды и формирование в коллективе нетерпимого отношения к коррупци</w:t>
      </w:r>
      <w:r>
        <w:t>онному поведению.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361"/>
        </w:tabs>
        <w:ind w:firstLine="740"/>
      </w:pPr>
      <w:r>
        <w:t>Усиление контроля за решением вопросов, содержащихся в обращениях граждан и юридических лиц.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361"/>
        </w:tabs>
        <w:ind w:firstLine="740"/>
      </w:pPr>
      <w:r>
        <w:t>Повышение уровня ответственности муниципальных служащих за качество и своевременность выполнения возложенных задач и функций, а также за непринят</w:t>
      </w:r>
      <w:r>
        <w:t>ие мер по устранению причин и условий, способствующих проявлениям коррупции.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97"/>
        </w:tabs>
        <w:ind w:firstLine="740"/>
      </w:pPr>
      <w:r>
        <w:t>Разработка и утверждение руководителем Учреждения годовых (полугодовых) планов мероприятий по противодействию коррупции, обеспечение контроля за ходом его выполнения.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361"/>
        </w:tabs>
        <w:ind w:firstLine="740"/>
      </w:pPr>
      <w:r>
        <w:t xml:space="preserve">Организация </w:t>
      </w:r>
      <w:r>
        <w:t>обучения и формирование у работников навыков антикоррупционного поведения и нетерпимого отношения к коррупции.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361"/>
        </w:tabs>
        <w:ind w:firstLine="740"/>
      </w:pPr>
      <w:r>
        <w:t>Изучение и использование в деятельности Учреждения передового опыта в сфере противодействия коррупции.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306"/>
        </w:tabs>
        <w:ind w:firstLine="740"/>
      </w:pPr>
      <w:r>
        <w:t>Назначение ответственных должностных лиц з</w:t>
      </w:r>
      <w:r>
        <w:t>а информационное и организационно</w:t>
      </w:r>
      <w:r>
        <w:softHyphen/>
        <w:t>техническое обеспечение деятельности Учреждения в сфере противодействия коррупции.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97"/>
        </w:tabs>
        <w:ind w:firstLine="740"/>
      </w:pPr>
      <w:r>
        <w:t>Подготовка справок, информаций, отчетов о ходе реализации мер антикоррупционной направленности.</w:t>
      </w:r>
    </w:p>
    <w:p w:rsidR="00D010E9" w:rsidRDefault="007A3D8E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344"/>
        </w:tabs>
        <w:ind w:left="2340" w:right="1640" w:firstLine="700"/>
      </w:pPr>
      <w:bookmarkStart w:id="5" w:name="bookmark4"/>
      <w:r>
        <w:t>Общие обязанности работников Учреждения в с</w:t>
      </w:r>
      <w:r>
        <w:t>вязи с предупреждением и противодействием коррупции</w:t>
      </w:r>
      <w:bookmarkEnd w:id="5"/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361"/>
        </w:tabs>
        <w:ind w:firstLine="740"/>
      </w:pPr>
      <w:r>
        <w:t>Общие обязанности работников Учреждения в связи с предупреждением и противодействием коррупции: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воздерживаться от совершения и (или) участия в совершении коррупционных правонарушений в интересах или от им</w:t>
      </w:r>
      <w:r>
        <w:t>ени Учреждения;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незамедлительно информировать непосредственного</w:t>
      </w:r>
      <w:r>
        <w:t xml:space="preserve">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 xml:space="preserve">незамедлительно информировать непосредственного начальника/лицо, ответственное за </w:t>
      </w:r>
      <w:r>
        <w:t>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t>сообщить непосредственному начальнику ил</w:t>
      </w:r>
      <w:r>
        <w:t>и иному ответственному лицу о возможности возникновения либо возникшем у работника конфликте интересов.</w:t>
      </w:r>
    </w:p>
    <w:p w:rsidR="00D010E9" w:rsidRDefault="007A3D8E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4198"/>
        </w:tabs>
        <w:ind w:left="3900" w:firstLine="0"/>
        <w:jc w:val="both"/>
      </w:pPr>
      <w:bookmarkStart w:id="6" w:name="bookmark5"/>
      <w:r>
        <w:t>Ответственность работников</w:t>
      </w:r>
      <w:bookmarkEnd w:id="6"/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55"/>
        </w:tabs>
        <w:ind w:firstLine="740"/>
      </w:pPr>
      <w:r>
        <w:t>Каждый работник при заключении трудового договора должен быть ознакомлен под подпись с антикоррупционной политикой Учреждения</w:t>
      </w:r>
      <w:r>
        <w:t xml:space="preserve"> и локальными нормативными актами, касающимися противодействия коррупции, изданными в Учреждении, и соблюдать принципы и </w:t>
      </w:r>
      <w:r>
        <w:lastRenderedPageBreak/>
        <w:t>требования данных документов.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01"/>
        </w:tabs>
        <w:ind w:firstLine="740"/>
      </w:pPr>
      <w:r>
        <w:t>Работники Учреждения, независимо от занимаемой должности, несут ответственность, предусмотренную действую</w:t>
      </w:r>
      <w:r>
        <w:t>щим законодательством Российской Федерации, за несоблюдение принципов и требований настоящей Антикоррупционной политики.</w:t>
      </w:r>
    </w:p>
    <w:p w:rsidR="00D010E9" w:rsidRDefault="007A3D8E">
      <w:pPr>
        <w:pStyle w:val="Bodytext70"/>
        <w:numPr>
          <w:ilvl w:val="0"/>
          <w:numId w:val="4"/>
        </w:numPr>
        <w:shd w:val="clear" w:color="auto" w:fill="auto"/>
        <w:tabs>
          <w:tab w:val="left" w:pos="1642"/>
        </w:tabs>
        <w:ind w:left="1320"/>
      </w:pPr>
      <w:r>
        <w:t>Порядок пересмотра и внесения изменений в антикоррупционную политику</w:t>
      </w:r>
    </w:p>
    <w:p w:rsidR="00D010E9" w:rsidRDefault="007A3D8E">
      <w:pPr>
        <w:pStyle w:val="Bodytext70"/>
        <w:shd w:val="clear" w:color="auto" w:fill="auto"/>
        <w:ind w:left="20"/>
        <w:jc w:val="center"/>
      </w:pPr>
      <w:r>
        <w:t>Учреждения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</w:pPr>
      <w:r>
        <w:t>В процессе работы должен осуществляться регулярный мони</w:t>
      </w:r>
      <w:r>
        <w:t>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35"/>
        </w:tabs>
        <w:ind w:firstLine="740"/>
      </w:pPr>
      <w:r>
        <w:t>Основными направлениями антикоррупционной экспертизы является: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36"/>
        </w:tabs>
        <w:ind w:firstLine="740"/>
      </w:pPr>
      <w:r>
        <w:t xml:space="preserve">обобщение и анализ результатов антикоррупционной экспертизы </w:t>
      </w:r>
      <w:r>
        <w:t>локальных нормативных документов Учреждения;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41"/>
        </w:tabs>
        <w:ind w:firstLine="740"/>
      </w:pPr>
      <w: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</w:pPr>
      <w:r>
        <w:t>изучение и анализ принимаемых в Учреждении мер по противодействию коррупции;</w:t>
      </w:r>
    </w:p>
    <w:p w:rsidR="00D010E9" w:rsidRDefault="007A3D8E">
      <w:pPr>
        <w:pStyle w:val="Bodytext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</w:pPr>
      <w:r>
        <w:t>анализ публ</w:t>
      </w:r>
      <w:r>
        <w:t>икаций о коррупции в средствах массовой информации.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05"/>
        </w:tabs>
        <w:ind w:firstLine="740"/>
      </w:pPr>
      <w:r>
        <w:t>Должностное лицо, ответственное за реализацию антикоррупционной политики в Учреждении, ежегодно представляет руководству Учреждения соответствующий отчет. Если по результатам мониторинга возникают сомнени</w:t>
      </w:r>
      <w:r>
        <w:t>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D010E9" w:rsidRDefault="007A3D8E">
      <w:pPr>
        <w:pStyle w:val="Bodytext20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</w:pPr>
      <w:r>
        <w:t>Пересмотр принятой антикоррупционной политики может проводиться и в иных случаях, таких как внесение изменений в Трудовой кодекс РФ и</w:t>
      </w:r>
      <w:r>
        <w:t xml:space="preserve"> законодательство о противодействии коррупции, а также по представлению предложений работников Учреждения или иных лиц.</w:t>
      </w:r>
    </w:p>
    <w:sectPr w:rsidR="00D010E9">
      <w:pgSz w:w="11900" w:h="16840"/>
      <w:pgMar w:top="730" w:right="687" w:bottom="1186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8E" w:rsidRDefault="007A3D8E">
      <w:r>
        <w:separator/>
      </w:r>
    </w:p>
  </w:endnote>
  <w:endnote w:type="continuationSeparator" w:id="0">
    <w:p w:rsidR="007A3D8E" w:rsidRDefault="007A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8E" w:rsidRDefault="007A3D8E"/>
  </w:footnote>
  <w:footnote w:type="continuationSeparator" w:id="0">
    <w:p w:rsidR="007A3D8E" w:rsidRDefault="007A3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D69"/>
    <w:multiLevelType w:val="multilevel"/>
    <w:tmpl w:val="0A9C7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639E5"/>
    <w:multiLevelType w:val="multilevel"/>
    <w:tmpl w:val="6F823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307C3"/>
    <w:multiLevelType w:val="multilevel"/>
    <w:tmpl w:val="EED89B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73E2D"/>
    <w:multiLevelType w:val="multilevel"/>
    <w:tmpl w:val="EDE61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E9"/>
    <w:rsid w:val="005323EF"/>
    <w:rsid w:val="005B4744"/>
    <w:rsid w:val="007A3D8E"/>
    <w:rsid w:val="00D010E9"/>
    <w:rsid w:val="00E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24DE-F1E1-46C7-9255-3C8FA1A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a0"/>
    <w:link w:val="Bodytext50"/>
    <w:rPr>
      <w:rFonts w:ascii="Verdana" w:eastAsia="Verdana" w:hAnsi="Verdana" w:cs="Verdan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64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640" w:after="8580" w:line="461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8580" w:after="60" w:line="0" w:lineRule="atLeast"/>
    </w:pPr>
    <w:rPr>
      <w:rFonts w:ascii="Verdana" w:eastAsia="Verdana" w:hAnsi="Verdana" w:cs="Verdana"/>
      <w:i/>
      <w:i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ind w:hanging="6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2021-04-14T14:16:00Z</dcterms:created>
  <dcterms:modified xsi:type="dcterms:W3CDTF">2021-04-14T14:19:00Z</dcterms:modified>
</cp:coreProperties>
</file>